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0F267F" w:rsidRDefault="000F267F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324" w:rsidRDefault="003F2324" w:rsidP="00B50C09">
      <w:r>
        <w:separator/>
      </w:r>
    </w:p>
  </w:endnote>
  <w:endnote w:type="continuationSeparator" w:id="0">
    <w:p w:rsidR="003F2324" w:rsidRDefault="003F2324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E7BFF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E7BFF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324" w:rsidRDefault="003F2324" w:rsidP="00B50C09">
      <w:r>
        <w:separator/>
      </w:r>
    </w:p>
  </w:footnote>
  <w:footnote w:type="continuationSeparator" w:id="0">
    <w:p w:rsidR="003F2324" w:rsidRDefault="003F2324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0E7BFF">
      <w:rPr>
        <w:rFonts w:ascii="Exo 2" w:hAnsi="Exo 2"/>
        <w:sz w:val="18"/>
        <w:szCs w:val="18"/>
      </w:rPr>
      <w:t>: BELTS/MSC/PROC/MP/2024/12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0E7BFF"/>
    <w:rsid w:val="000F267F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3F2324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80510EC0-0559-48F2-BF5F-E8A83578E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13</cp:revision>
  <dcterms:created xsi:type="dcterms:W3CDTF">2024-09-10T00:46:00Z</dcterms:created>
  <dcterms:modified xsi:type="dcterms:W3CDTF">2024-10-16T06:50:00Z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