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43268F39" w:rsidR="00901E7B" w:rsidRPr="00DE3B22" w:rsidRDefault="003616FE" w:rsidP="004F32EF">
      <w:pPr>
        <w:spacing w:after="0"/>
        <w:jc w:val="center"/>
        <w:rPr>
          <w:rFonts w:ascii="Exo 2" w:hAnsi="Exo 2" w:cstheme="minorHAnsi"/>
          <w:b/>
          <w:sz w:val="36"/>
          <w:szCs w:val="36"/>
          <w:lang w:val="en-US"/>
        </w:rPr>
      </w:pPr>
      <w:r>
        <w:rPr>
          <w:rFonts w:ascii="Exo 2" w:hAnsi="Exo 2"/>
          <w:b/>
          <w:sz w:val="36"/>
          <w:szCs w:val="36"/>
        </w:rPr>
        <w:t>BELTS/MSC/PROC/MC/2024/3</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3616FE">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3616FE">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3616FE">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3616FE">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3616FE">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3616FE">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3616FE">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3616FE">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3616FE">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3616FE">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3616FE">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3616FE">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3616FE">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3616FE">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3616FE">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3616FE">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3616FE">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3616FE">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3616FE">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3616FE">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3616FE">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3616FE">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3616FE">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3616FE">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3616FE">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3616FE">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3616FE">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3616FE">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3616FE">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3616FE">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3616FE">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516330"/>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4"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4"/>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5" w:name="_Hlk39586513"/>
      <w:bookmarkEnd w:id="3"/>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53E687CD"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3616FE">
        <w:rPr>
          <w:rFonts w:ascii="Exo 2" w:hAnsi="Exo 2" w:cstheme="minorHAnsi"/>
          <w:b/>
          <w:sz w:val="20"/>
          <w:szCs w:val="20"/>
        </w:rPr>
        <w:t>BELTS/MSC/PROC/MC/2024/3</w:t>
      </w:r>
      <w:r w:rsidR="00D739EF">
        <w:rPr>
          <w:rFonts w:ascii="Exo 2" w:hAnsi="Exo 2" w:cstheme="minorHAnsi"/>
          <w:b/>
          <w:sz w:val="20"/>
          <w:szCs w:val="20"/>
        </w:rPr>
        <w:t>)</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516335"/>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516337"/>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516338"/>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516339"/>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516340"/>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516341"/>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516342"/>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498B4E0C"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3616FE">
        <w:rPr>
          <w:rFonts w:ascii="Exo 2" w:hAnsi="Exo 2" w:cstheme="minorHAnsi"/>
          <w:b/>
          <w:sz w:val="20"/>
        </w:rPr>
        <w:t>Mon</w:t>
      </w:r>
      <w:r w:rsidRPr="007B60DB">
        <w:rPr>
          <w:rFonts w:ascii="Exo 2" w:hAnsi="Exo 2" w:cstheme="minorHAnsi"/>
          <w:b/>
          <w:sz w:val="20"/>
        </w:rPr>
        <w:t xml:space="preserve">day, </w:t>
      </w:r>
      <w:r w:rsidR="003616FE">
        <w:rPr>
          <w:rFonts w:ascii="Exo 2" w:hAnsi="Exo 2" w:cstheme="minorHAnsi"/>
          <w:b/>
          <w:sz w:val="20"/>
        </w:rPr>
        <w:t>21</w:t>
      </w:r>
      <w:r w:rsidR="003616FE" w:rsidRPr="003616FE">
        <w:rPr>
          <w:rFonts w:ascii="Exo 2" w:hAnsi="Exo 2" w:cstheme="minorHAnsi"/>
          <w:b/>
          <w:sz w:val="20"/>
          <w:vertAlign w:val="superscript"/>
        </w:rPr>
        <w:t>st</w:t>
      </w:r>
      <w:r w:rsidR="003616FE">
        <w:rPr>
          <w:rFonts w:ascii="Exo 2" w:hAnsi="Exo 2" w:cstheme="minorHAnsi"/>
          <w:b/>
          <w:sz w:val="20"/>
        </w:rPr>
        <w:t xml:space="preserve"> </w:t>
      </w:r>
      <w:bookmarkStart w:id="19" w:name="_GoBack"/>
      <w:bookmarkEnd w:id="19"/>
      <w:r w:rsidRPr="007B60DB">
        <w:rPr>
          <w:rFonts w:ascii="Exo 2" w:hAnsi="Exo 2" w:cstheme="minorHAnsi"/>
          <w:b/>
          <w:sz w:val="20"/>
        </w:rPr>
        <w:t xml:space="preserve">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5A9F7" w14:textId="77777777" w:rsidR="00CF6E7B" w:rsidRDefault="00CF6E7B">
      <w:pPr>
        <w:spacing w:after="0"/>
      </w:pPr>
      <w:r>
        <w:separator/>
      </w:r>
    </w:p>
  </w:endnote>
  <w:endnote w:type="continuationSeparator" w:id="0">
    <w:p w14:paraId="57140AF9" w14:textId="77777777" w:rsidR="00CF6E7B" w:rsidRDefault="00CF6E7B">
      <w:pPr>
        <w:spacing w:after="0"/>
      </w:pPr>
      <w:r>
        <w:continuationSeparator/>
      </w:r>
    </w:p>
  </w:endnote>
  <w:endnote w:type="continuationNotice" w:id="1">
    <w:p w14:paraId="0F634902" w14:textId="77777777" w:rsidR="00CF6E7B" w:rsidRDefault="00CF6E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3616FE">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3616FE">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E03D9" w14:textId="77777777" w:rsidR="00CF6E7B" w:rsidRDefault="00CF6E7B">
      <w:pPr>
        <w:spacing w:after="0"/>
      </w:pPr>
      <w:r>
        <w:separator/>
      </w:r>
    </w:p>
  </w:footnote>
  <w:footnote w:type="continuationSeparator" w:id="0">
    <w:p w14:paraId="06F62AC0" w14:textId="77777777" w:rsidR="00CF6E7B" w:rsidRDefault="00CF6E7B">
      <w:pPr>
        <w:spacing w:after="0"/>
      </w:pPr>
      <w:r>
        <w:continuationSeparator/>
      </w:r>
    </w:p>
  </w:footnote>
  <w:footnote w:type="continuationNotice" w:id="1">
    <w:p w14:paraId="29154C63" w14:textId="77777777" w:rsidR="00CF6E7B" w:rsidRDefault="00CF6E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47A85CF6"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3616FE">
      <w:rPr>
        <w:rFonts w:ascii="Exo 2" w:hAnsi="Exo 2"/>
        <w:sz w:val="18"/>
        <w:szCs w:val="18"/>
      </w:rPr>
      <w:t>erence: BELTS/MSC/PROC/MC/2024/3</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5EBD079E"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3616FE">
      <w:rPr>
        <w:rFonts w:ascii="Exo 2" w:hAnsi="Exo 2"/>
        <w:sz w:val="18"/>
        <w:szCs w:val="18"/>
      </w:rPr>
      <w:t>/PROC/MC/2024/3</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16FE"/>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A77A9F-BC5E-4DD2-9D8F-0974C9E5E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13</Pages>
  <Words>4956</Words>
  <Characters>28250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19</cp:revision>
  <cp:lastPrinted>2021-07-05T03:23:00Z</cp:lastPrinted>
  <dcterms:created xsi:type="dcterms:W3CDTF">2024-09-17T07:16:00Z</dcterms:created>
  <dcterms:modified xsi:type="dcterms:W3CDTF">2024-10-03T07:07:00Z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